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b/>
          <w:sz w:val="32"/>
          <w:szCs w:val="32"/>
        </w:rPr>
      </w:pPr>
      <w:r>
        <w:rPr>
          <w:rFonts w:hint="eastAsia" w:ascii="黑体" w:hAnsi="黑体" w:eastAsia="黑体"/>
          <w:b/>
          <w:sz w:val="32"/>
          <w:szCs w:val="32"/>
        </w:rPr>
        <w:t>第一类体外诊断试剂备案信息表</w:t>
      </w:r>
    </w:p>
    <w:p>
      <w:pPr>
        <w:spacing w:line="240" w:lineRule="exact"/>
        <w:jc w:val="center"/>
        <w:rPr>
          <w:rFonts w:ascii="宋体"/>
          <w:sz w:val="24"/>
        </w:rPr>
      </w:pPr>
    </w:p>
    <w:p>
      <w:pPr>
        <w:spacing w:line="360" w:lineRule="auto"/>
        <w:ind w:right="480" w:firstLine="3960" w:firstLineChars="1650"/>
        <w:rPr>
          <w:rFonts w:hint="eastAsia" w:ascii="华文仿宋" w:hAnsi="华文仿宋" w:eastAsia="华文仿宋"/>
          <w:sz w:val="24"/>
          <w:lang w:eastAsia="zh-CN"/>
        </w:rPr>
      </w:pPr>
      <w:r>
        <w:rPr>
          <w:rFonts w:hint="eastAsia" w:ascii="华文仿宋" w:hAnsi="华文仿宋" w:eastAsia="华文仿宋"/>
          <w:sz w:val="24"/>
        </w:rPr>
        <w:t>备案编号：</w:t>
      </w:r>
      <w:bookmarkStart w:id="0" w:name="DSP_PRODUCT_LICENSE_CERT_NO_XΩCMCΩCΩCF"/>
      <w:r>
        <w:rPr>
          <w:rFonts w:hint="eastAsia" w:ascii="华文仿宋" w:hAnsi="华文仿宋" w:eastAsia="华文仿宋"/>
          <w:sz w:val="24"/>
          <w:lang w:eastAsia="zh-CN"/>
        </w:rPr>
        <w:t>鲁烟械备20180077号</w:t>
      </w:r>
      <w:bookmarkEnd w:id="0"/>
    </w:p>
    <w:tbl>
      <w:tblPr>
        <w:tblStyle w:val="2"/>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备案人名称</w:t>
            </w:r>
          </w:p>
        </w:tc>
        <w:tc>
          <w:tcPr>
            <w:tcW w:w="6971" w:type="dxa"/>
            <w:vAlign w:val="center"/>
          </w:tcPr>
          <w:p>
            <w:pPr>
              <w:spacing w:line="360" w:lineRule="auto"/>
              <w:jc w:val="left"/>
              <w:rPr>
                <w:rFonts w:hint="eastAsia" w:ascii="华文仿宋" w:hAnsi="华文仿宋" w:eastAsia="华文仿宋"/>
                <w:sz w:val="24"/>
                <w:lang w:eastAsia="zh-CN"/>
              </w:rPr>
            </w:pPr>
            <w:bookmarkStart w:id="1" w:name="DSP_ENT_BASE_ENT_NAME_XΩCMCΩCΩCF"/>
            <w:r>
              <w:rPr>
                <w:rFonts w:hint="eastAsia" w:ascii="华文仿宋" w:hAnsi="华文仿宋" w:eastAsia="华文仿宋"/>
                <w:sz w:val="24"/>
                <w:lang w:eastAsia="zh-CN"/>
              </w:rPr>
              <w:t>烟台三得医学科技有限公司</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备案人统一社会信用代码</w:t>
            </w:r>
          </w:p>
        </w:tc>
        <w:tc>
          <w:tcPr>
            <w:tcW w:w="6971" w:type="dxa"/>
            <w:vAlign w:val="center"/>
          </w:tcPr>
          <w:p>
            <w:pPr>
              <w:spacing w:line="360" w:lineRule="auto"/>
              <w:jc w:val="left"/>
              <w:rPr>
                <w:rFonts w:ascii="华文仿宋" w:hAnsi="华文仿宋" w:eastAsia="华文仿宋"/>
                <w:sz w:val="24"/>
              </w:rPr>
            </w:pPr>
            <w:bookmarkStart w:id="2" w:name="ZuZhiJiGouDaiMaΩCFCΩCΩCF"/>
            <w:r>
              <w:rPr>
                <w:rFonts w:hint="eastAsia" w:ascii="华文仿宋" w:hAnsi="华文仿宋" w:eastAsia="华文仿宋"/>
                <w:sz w:val="24"/>
                <w:lang w:eastAsia="zh-CN"/>
              </w:rPr>
              <w:t>91370613753547246B</w:t>
            </w:r>
            <w:bookmarkEnd w:id="2"/>
            <w:r>
              <w:rPr>
                <w:rFonts w:hint="eastAsia" w:ascii="华文仿宋" w:hAnsi="华文仿宋" w:eastAsia="华文仿宋"/>
                <w:sz w:val="24"/>
              </w:rPr>
              <w:t>（境内医疗器械适用）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备案人住所</w:t>
            </w:r>
          </w:p>
        </w:tc>
        <w:tc>
          <w:tcPr>
            <w:tcW w:w="6971" w:type="dxa"/>
            <w:vAlign w:val="center"/>
          </w:tcPr>
          <w:p>
            <w:pPr>
              <w:spacing w:line="360" w:lineRule="auto"/>
              <w:jc w:val="left"/>
              <w:rPr>
                <w:rFonts w:hint="eastAsia" w:ascii="华文仿宋" w:hAnsi="华文仿宋" w:eastAsia="华文仿宋"/>
                <w:sz w:val="24"/>
                <w:lang w:eastAsia="zh-CN"/>
              </w:rPr>
            </w:pPr>
            <w:bookmarkStart w:id="3" w:name="BeiAnRenSuoZaiDiΩCFCΩCΩCF"/>
            <w:r>
              <w:rPr>
                <w:rFonts w:hint="eastAsia" w:ascii="华文仿宋" w:hAnsi="华文仿宋" w:eastAsia="华文仿宋"/>
                <w:sz w:val="24"/>
                <w:lang w:eastAsia="zh-CN"/>
              </w:rPr>
              <w:t>烟台市莱山区盛泉工业园都兴路10号</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生产地址</w:t>
            </w:r>
          </w:p>
        </w:tc>
        <w:tc>
          <w:tcPr>
            <w:tcW w:w="6971" w:type="dxa"/>
            <w:vAlign w:val="center"/>
          </w:tcPr>
          <w:p>
            <w:pPr>
              <w:spacing w:line="360" w:lineRule="auto"/>
              <w:jc w:val="left"/>
              <w:rPr>
                <w:rFonts w:hint="eastAsia" w:ascii="华文仿宋" w:hAnsi="华文仿宋" w:eastAsia="华文仿宋"/>
                <w:sz w:val="24"/>
                <w:lang w:eastAsia="zh-CN"/>
              </w:rPr>
            </w:pPr>
            <w:bookmarkStart w:id="4" w:name="DSP_PRODUCT_LICENSE_PROD_ADDR_XΩCMCΩCΩCF"/>
            <w:r>
              <w:rPr>
                <w:rFonts w:hint="eastAsia" w:ascii="华文仿宋" w:hAnsi="华文仿宋" w:eastAsia="华文仿宋"/>
                <w:sz w:val="24"/>
                <w:lang w:eastAsia="zh-CN"/>
              </w:rPr>
              <w:t>烟台市莱山区盛泉工业园都兴路10号</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代理人</w:t>
            </w:r>
          </w:p>
        </w:tc>
        <w:tc>
          <w:tcPr>
            <w:tcW w:w="6971" w:type="dxa"/>
            <w:vAlign w:val="center"/>
          </w:tcPr>
          <w:p>
            <w:pPr>
              <w:spacing w:line="360" w:lineRule="auto"/>
              <w:jc w:val="left"/>
              <w:rPr>
                <w:rFonts w:ascii="华文仿宋" w:hAnsi="华文仿宋" w:eastAsia="华文仿宋"/>
                <w:sz w:val="24"/>
              </w:rPr>
            </w:pPr>
            <w:bookmarkStart w:id="5" w:name="DSP_CERT_EXT_AGENT_NAMEΩCMCΩCΩCF"/>
            <w:bookmarkEnd w:id="5"/>
            <w:r>
              <w:rPr>
                <w:rFonts w:hint="eastAsia" w:ascii="华文仿宋" w:hAnsi="华文仿宋" w:eastAsia="华文仿宋"/>
                <w:sz w:val="24"/>
              </w:rPr>
              <w:t>（进口医疗器械适用）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代理人住所</w:t>
            </w:r>
          </w:p>
        </w:tc>
        <w:tc>
          <w:tcPr>
            <w:tcW w:w="6971" w:type="dxa"/>
            <w:vAlign w:val="center"/>
          </w:tcPr>
          <w:p>
            <w:pPr>
              <w:spacing w:line="360" w:lineRule="auto"/>
              <w:jc w:val="left"/>
              <w:rPr>
                <w:rFonts w:ascii="华文仿宋" w:hAnsi="华文仿宋" w:eastAsia="华文仿宋"/>
                <w:sz w:val="24"/>
              </w:rPr>
            </w:pPr>
            <w:bookmarkStart w:id="6" w:name="DSP_CERT_EXT_PROXY_ADDRESSΩCMCΩCΩCF"/>
            <w:bookmarkEnd w:id="6"/>
            <w:r>
              <w:rPr>
                <w:rFonts w:hint="eastAsia" w:ascii="华文仿宋" w:hAnsi="华文仿宋" w:eastAsia="华文仿宋"/>
                <w:sz w:val="24"/>
              </w:rPr>
              <w:t>（进口医疗器械适用）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产品分类名称（产品名称）</w:t>
            </w:r>
          </w:p>
        </w:tc>
        <w:tc>
          <w:tcPr>
            <w:tcW w:w="6971" w:type="dxa"/>
            <w:vAlign w:val="center"/>
          </w:tcPr>
          <w:p>
            <w:pPr>
              <w:spacing w:line="360" w:lineRule="auto"/>
              <w:jc w:val="left"/>
              <w:rPr>
                <w:rFonts w:hint="eastAsia" w:ascii="华文仿宋" w:hAnsi="华文仿宋" w:eastAsia="华文仿宋"/>
                <w:sz w:val="24"/>
                <w:lang w:eastAsia="zh-CN"/>
              </w:rPr>
            </w:pPr>
            <w:bookmarkStart w:id="7" w:name="DSP_PRODUCT_LICENSE_PRODNAME_XΩCMCΩCΩCF"/>
            <w:r>
              <w:rPr>
                <w:rFonts w:hint="eastAsia" w:ascii="华文仿宋" w:hAnsi="华文仿宋" w:eastAsia="华文仿宋"/>
                <w:sz w:val="24"/>
                <w:lang w:eastAsia="zh-CN"/>
              </w:rPr>
              <w:t>血细胞分析用溶血剂</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包装规格</w:t>
            </w:r>
          </w:p>
        </w:tc>
        <w:tc>
          <w:tcPr>
            <w:tcW w:w="6971" w:type="dxa"/>
            <w:vAlign w:val="center"/>
          </w:tcPr>
          <w:p>
            <w:pPr>
              <w:spacing w:line="360" w:lineRule="auto"/>
              <w:jc w:val="left"/>
              <w:rPr>
                <w:rFonts w:hint="eastAsia" w:ascii="华文仿宋" w:hAnsi="华文仿宋" w:eastAsia="华文仿宋"/>
                <w:sz w:val="24"/>
                <w:lang w:eastAsia="zh-CN"/>
              </w:rPr>
            </w:pPr>
            <w:bookmarkStart w:id="8" w:name="DSP_PRODUCT_LICENSE_SPEC_XΩCMCΩCΩCF"/>
            <w:r>
              <w:rPr>
                <w:rFonts w:hint="eastAsia" w:ascii="华文仿宋" w:hAnsi="华文仿宋" w:eastAsia="华文仿宋"/>
                <w:sz w:val="24"/>
                <w:lang w:eastAsia="zh-CN"/>
              </w:rPr>
              <w:t>Lysodiff，Lysocell，LysoLMG，LysoAC，Lysotac，Lysogent，Lysomex，Lysonic，Lysoquik，LysoWIC，Lysodynt，3WP，SD-SLS，Lysoalpha，LysoEO，LysoBA，LysoBA120，Lysotac.5，LysoPAK，PEROX SHEATH，PEROX，BASO，HGB，Lysosheath，LysoWOC，4DL，FBA，LEO(I)，LEO(II)，LBA，LH，53LEO(I)，53LEO(II)，53LH，MSEO，Diff3,FDO,FDT,SLS-I,Mythic-Diff5, 5LEO(I),5LEO(II),52DIFF,52LH,86D, 86H,SD-WNR,SD-WDF,68LD,68LB,68LH, Diff,LysoEO(I),LysoEO(II）,LysoLH,Lysopoct,60LD,60LN,60LH。 包装规格为20L,15L,10L,5L,4L,2725ml,2700ml,1900ml,1500ml,1100ml,1L,850ml,820ml，810ml,650ml,585ml,575ml,500ml,400ml,380ml,300ml,250ml, 200ml,150ml,125ml,100ml,15ml,6ml，2.5ml,2.5ml×20,5ml,5ml×20,3.8L，500ml×2,500ml×3,1.5L,1.5L×2，2L,2L×2，4L×2，15ml×6，6ml×50。</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产品有效期</w:t>
            </w:r>
          </w:p>
        </w:tc>
        <w:tc>
          <w:tcPr>
            <w:tcW w:w="6971" w:type="dxa"/>
            <w:vAlign w:val="center"/>
          </w:tcPr>
          <w:p>
            <w:pPr>
              <w:spacing w:line="360" w:lineRule="auto"/>
              <w:jc w:val="left"/>
              <w:rPr>
                <w:rFonts w:hint="eastAsia" w:ascii="华文仿宋" w:hAnsi="华文仿宋" w:eastAsia="华文仿宋"/>
                <w:sz w:val="24"/>
                <w:lang w:eastAsia="zh-CN"/>
              </w:rPr>
            </w:pPr>
            <w:bookmarkStart w:id="9" w:name="DSP_PL_VALID_END_NOTEΩCMCΩCΩCF"/>
            <w:bookmarkEnd w:id="9"/>
            <w:r>
              <w:rPr>
                <w:rFonts w:hint="eastAsia" w:ascii="华文仿宋" w:hAnsi="华文仿宋" w:eastAsia="华文仿宋"/>
                <w:sz w:val="24"/>
                <w:lang w:eastAsia="zh-CN"/>
              </w:rPr>
              <w:t>EO、PEROX、PEROX SHEATH的有效期为12个月，其余产品的有效期为24个月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主要组成成分</w:t>
            </w:r>
          </w:p>
        </w:tc>
        <w:tc>
          <w:tcPr>
            <w:tcW w:w="6971" w:type="dxa"/>
            <w:vAlign w:val="center"/>
          </w:tcPr>
          <w:p>
            <w:pPr>
              <w:spacing w:line="360" w:lineRule="auto"/>
              <w:jc w:val="left"/>
              <w:rPr>
                <w:rFonts w:hint="eastAsia" w:ascii="华文仿宋" w:hAnsi="华文仿宋" w:eastAsia="华文仿宋"/>
                <w:sz w:val="24"/>
                <w:lang w:eastAsia="zh-CN"/>
              </w:rPr>
            </w:pPr>
            <w:bookmarkStart w:id="10" w:name="DSP_PRODUCT_LICENSE_COMPOSE_XΩCMCΩCΩCF"/>
            <w:r>
              <w:rPr>
                <w:rFonts w:hint="eastAsia" w:ascii="华文仿宋" w:hAnsi="华文仿宋" w:eastAsia="华文仿宋"/>
                <w:sz w:val="24"/>
                <w:lang w:eastAsia="zh-CN"/>
              </w:rPr>
              <w:t>由表面活性剂或/及血红蛋白转化物质组成的水溶液。</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预期用途</w:t>
            </w:r>
          </w:p>
        </w:tc>
        <w:tc>
          <w:tcPr>
            <w:tcW w:w="6971" w:type="dxa"/>
            <w:vAlign w:val="center"/>
          </w:tcPr>
          <w:p>
            <w:pPr>
              <w:spacing w:line="360" w:lineRule="auto"/>
              <w:jc w:val="left"/>
              <w:rPr>
                <w:rFonts w:hint="eastAsia" w:ascii="华文仿宋" w:hAnsi="华文仿宋" w:eastAsia="华文仿宋"/>
                <w:sz w:val="24"/>
                <w:lang w:eastAsia="zh-CN"/>
              </w:rPr>
            </w:pPr>
            <w:bookmarkStart w:id="11" w:name="YuQiYongTuΩCFCΩCΩCF"/>
            <w:r>
              <w:rPr>
                <w:rFonts w:hint="eastAsia" w:ascii="华文仿宋" w:hAnsi="华文仿宋" w:eastAsia="华文仿宋"/>
                <w:sz w:val="24"/>
                <w:lang w:eastAsia="zh-CN"/>
              </w:rPr>
              <w:t>用于血细胞分析前破坏红细胞、溶出血红蛋白、维持所需分析细胞的形态，待有需求时，对白细胞染色后再进行分类计数或直接进行细胞分类计数或血红蛋白定量测定。</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备注</w:t>
            </w:r>
          </w:p>
        </w:tc>
        <w:tc>
          <w:tcPr>
            <w:tcW w:w="6971" w:type="dxa"/>
          </w:tcPr>
          <w:p>
            <w:pPr>
              <w:spacing w:line="360" w:lineRule="auto"/>
              <w:jc w:val="left"/>
              <w:rPr>
                <w:rFonts w:hint="eastAsia" w:ascii="华文仿宋" w:hAnsi="华文仿宋" w:eastAsia="华文仿宋"/>
                <w:sz w:val="24"/>
                <w:lang w:eastAsia="zh-CN"/>
              </w:rPr>
            </w:pPr>
            <w:bookmarkStart w:id="12" w:name="DSP_PRODUCT_LICENSE_NOTEΩCMCΩCΩCF"/>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2068" w:type="dxa"/>
            <w:vAlign w:val="center"/>
          </w:tcPr>
          <w:p>
            <w:pPr>
              <w:spacing w:line="360" w:lineRule="auto"/>
              <w:jc w:val="center"/>
              <w:rPr>
                <w:rFonts w:ascii="华文仿宋" w:hAnsi="华文仿宋" w:eastAsia="华文仿宋"/>
                <w:sz w:val="24"/>
              </w:rPr>
            </w:pPr>
            <w:r>
              <w:rPr>
                <w:rFonts w:ascii="华文仿宋" w:hAnsi="华文仿宋" w:eastAsia="华文仿宋"/>
                <w:sz w:val="24"/>
              </w:rPr>
              <w:t>备案</w:t>
            </w:r>
            <w:r>
              <w:rPr>
                <w:rFonts w:hint="eastAsia" w:ascii="华文仿宋" w:hAnsi="华文仿宋" w:eastAsia="华文仿宋"/>
                <w:sz w:val="24"/>
              </w:rPr>
              <w:t>部门</w:t>
            </w:r>
          </w:p>
          <w:p>
            <w:pPr>
              <w:spacing w:line="360" w:lineRule="auto"/>
              <w:jc w:val="center"/>
              <w:rPr>
                <w:rFonts w:ascii="华文仿宋" w:hAnsi="华文仿宋" w:eastAsia="华文仿宋"/>
                <w:sz w:val="24"/>
              </w:rPr>
            </w:pPr>
            <w:r>
              <w:rPr>
                <w:rFonts w:hint="eastAsia" w:ascii="华文仿宋" w:hAnsi="华文仿宋" w:eastAsia="华文仿宋"/>
                <w:sz w:val="24"/>
              </w:rPr>
              <w:t>备案</w:t>
            </w:r>
            <w:r>
              <w:rPr>
                <w:rFonts w:ascii="华文仿宋" w:hAnsi="华文仿宋" w:eastAsia="华文仿宋"/>
                <w:sz w:val="24"/>
              </w:rPr>
              <w:t>日期</w:t>
            </w:r>
          </w:p>
        </w:tc>
        <w:tc>
          <w:tcPr>
            <w:tcW w:w="6971" w:type="dxa"/>
          </w:tcPr>
          <w:p>
            <w:pPr>
              <w:spacing w:line="360" w:lineRule="auto"/>
              <w:ind w:right="790" w:firstLine="480" w:firstLineChars="200"/>
              <w:jc w:val="center"/>
              <w:rPr>
                <w:rFonts w:ascii="华文仿宋" w:hAnsi="华文仿宋" w:eastAsia="华文仿宋"/>
                <w:sz w:val="24"/>
              </w:rPr>
            </w:pPr>
            <w:bookmarkStart w:id="13" w:name="SPC_ISSUEDEPTNAMEΩSPCΩCΩCF"/>
            <w:r>
              <w:rPr>
                <w:rFonts w:hint="eastAsia" w:ascii="华文仿宋" w:hAnsi="华文仿宋" w:eastAsia="华文仿宋"/>
                <w:sz w:val="24"/>
                <w:lang w:eastAsia="zh-CN"/>
              </w:rPr>
              <w:t>烟台市市场监督管理局</w:t>
            </w:r>
            <w:bookmarkEnd w:id="13"/>
            <w:r>
              <w:rPr>
                <w:rFonts w:ascii="华文仿宋" w:hAnsi="华文仿宋" w:eastAsia="华文仿宋"/>
                <w:sz w:val="24"/>
              </w:rPr>
              <w:t xml:space="preserve">  </w:t>
            </w:r>
          </w:p>
          <w:p>
            <w:pPr>
              <w:spacing w:line="360" w:lineRule="auto"/>
              <w:ind w:right="735" w:firstLine="1680" w:firstLineChars="700"/>
              <w:rPr>
                <w:rFonts w:ascii="华文仿宋" w:hAnsi="华文仿宋" w:eastAsia="华文仿宋"/>
                <w:sz w:val="24"/>
              </w:rPr>
            </w:pPr>
            <w:r>
              <w:rPr>
                <w:rFonts w:hint="eastAsia" w:ascii="华文仿宋" w:hAnsi="华文仿宋" w:eastAsia="华文仿宋"/>
                <w:sz w:val="24"/>
              </w:rPr>
              <w:t>备案日期：</w:t>
            </w:r>
            <w:r>
              <w:rPr>
                <w:rFonts w:ascii="华文仿宋" w:hAnsi="华文仿宋" w:eastAsia="华文仿宋"/>
                <w:sz w:val="24"/>
              </w:rPr>
              <w:t xml:space="preserve"> </w:t>
            </w:r>
            <w:bookmarkStart w:id="14" w:name="YouXiaoQiKaiShiRiQiΩCFCΩDYΩCF"/>
            <w:bookmarkEnd w:id="14"/>
            <w:r>
              <w:rPr>
                <w:rFonts w:ascii="华文仿宋" w:hAnsi="华文仿宋" w:eastAsia="华文仿宋"/>
                <w:sz w:val="24"/>
              </w:rPr>
              <w:t xml:space="preserve"> </w:t>
            </w:r>
            <w:r>
              <w:rPr>
                <w:rFonts w:hint="eastAsia" w:ascii="华文仿宋" w:hAnsi="华文仿宋" w:eastAsia="华文仿宋"/>
                <w:sz w:val="24"/>
                <w:lang w:val="en-US" w:eastAsia="zh-CN"/>
              </w:rPr>
              <w:t>2025</w:t>
            </w:r>
            <w:r>
              <w:rPr>
                <w:rFonts w:ascii="华文仿宋" w:hAnsi="华文仿宋" w:eastAsia="华文仿宋"/>
                <w:sz w:val="24"/>
              </w:rPr>
              <w:t>年</w:t>
            </w:r>
            <w:bookmarkStart w:id="15" w:name="YouXiaoQiKaiShiRiQiΩCFCΩDMΩCF"/>
            <w:bookmarkEnd w:id="15"/>
            <w:r>
              <w:rPr>
                <w:rFonts w:ascii="华文仿宋" w:hAnsi="华文仿宋" w:eastAsia="华文仿宋"/>
                <w:sz w:val="24"/>
              </w:rPr>
              <w:t xml:space="preserve"> </w:t>
            </w:r>
            <w:r>
              <w:rPr>
                <w:rFonts w:hint="eastAsia" w:ascii="华文仿宋" w:hAnsi="华文仿宋" w:eastAsia="华文仿宋"/>
                <w:sz w:val="24"/>
                <w:lang w:val="en-US" w:eastAsia="zh-CN"/>
              </w:rPr>
              <w:t>01</w:t>
            </w:r>
            <w:r>
              <w:rPr>
                <w:rFonts w:ascii="华文仿宋" w:hAnsi="华文仿宋" w:eastAsia="华文仿宋"/>
                <w:sz w:val="24"/>
              </w:rPr>
              <w:t>月</w:t>
            </w:r>
            <w:bookmarkStart w:id="16" w:name="YouXiaoQiKaiShiRiQiΩCFCΩDDΩCF"/>
            <w:bookmarkEnd w:id="16"/>
            <w:r>
              <w:rPr>
                <w:rFonts w:ascii="华文仿宋" w:hAnsi="华文仿宋" w:eastAsia="华文仿宋"/>
                <w:sz w:val="24"/>
              </w:rPr>
              <w:t xml:space="preserve"> </w:t>
            </w:r>
            <w:r>
              <w:rPr>
                <w:rFonts w:hint="eastAsia" w:ascii="华文仿宋" w:hAnsi="华文仿宋" w:eastAsia="华文仿宋"/>
                <w:sz w:val="24"/>
                <w:lang w:val="en-US" w:eastAsia="zh-CN"/>
              </w:rPr>
              <w:t>03</w:t>
            </w:r>
            <w:r>
              <w:rPr>
                <w:rFonts w:ascii="华文仿宋" w:hAnsi="华文仿宋" w:eastAsia="华文仿宋"/>
                <w:sz w:val="24"/>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变更情况</w:t>
            </w:r>
          </w:p>
        </w:tc>
        <w:tc>
          <w:tcPr>
            <w:tcW w:w="6971" w:type="dxa"/>
          </w:tcPr>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序号</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变更项目</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变更前</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变更后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1</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产品描述</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由表面活性剂或/及血红蛋白转化物质组成的水溶液。 用于血细胞分析仪的一种随机联用试剂，用于破坏红细胞，以使血细胞分析仪能够测定白细胞的数量及血红蛋白含量。 A类溶血剂用于白细胞计数、分类及血红蛋白测定。B类溶血剂用于血红蛋白测定。C类溶血剂用于白细胞计数、分类测定。</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由表面活性剂或/及血红蛋白转化物质组成的水溶液。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2</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预期用途</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用于血细胞分析前，破坏红细胞、溶出血红蛋白、维持所需分析细胞的形态，从而便于细胞分类计数或血红蛋白定量测定。</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用于血细胞分析前破坏红细胞、溶出血红蛋白、维持所需分析细胞的形态，待有需求时，对白细胞染色后再进行分类计数或直接进行细胞分类计数或血红蛋白定量测定。</w:t>
                  </w:r>
                </w:p>
              </w:tc>
            </w:tr>
          </w:tbl>
          <w:p>
            <w:pPr>
              <w:spacing w:line="360" w:lineRule="auto"/>
              <w:jc w:val="left"/>
              <w:rPr>
                <w:rFonts w:hint="eastAsia" w:ascii="华文仿宋" w:hAnsi="华文仿宋" w:eastAsia="华文仿宋"/>
                <w:b/>
                <w:sz w:val="24"/>
                <w:u w:val="single"/>
                <w:lang w:eastAsia="zh-CN"/>
              </w:rPr>
            </w:pPr>
          </w:p>
        </w:tc>
      </w:tr>
    </w:tbl>
    <w:p>
      <w:pPr>
        <w:rPr>
          <w:rFonts w:ascii="华文仿宋" w:hAnsi="华文仿宋" w:eastAsia="华文仿宋"/>
          <w:sz w:val="28"/>
          <w:szCs w:val="28"/>
        </w:rPr>
      </w:pPr>
      <w:r>
        <w:rPr>
          <w:rFonts w:hint="eastAsia" w:ascii="华文仿宋" w:hAnsi="华文仿宋" w:eastAsia="华文仿宋"/>
          <w:sz w:val="28"/>
          <w:szCs w:val="28"/>
        </w:rPr>
        <w:t>境内备案人委托生产的，备注栏应当标注受托企业名称。</w:t>
      </w:r>
    </w:p>
    <w:p>
      <w:pPr>
        <w:rPr>
          <w:rFonts w:ascii="华文仿宋" w:hAnsi="华文仿宋" w:eastAsia="华文仿宋"/>
          <w:sz w:val="28"/>
          <w:szCs w:val="28"/>
        </w:rPr>
      </w:pPr>
      <w:r>
        <w:rPr>
          <w:rFonts w:hint="eastAsia" w:ascii="华文仿宋" w:hAnsi="华文仿宋" w:eastAsia="华文仿宋"/>
          <w:sz w:val="28"/>
          <w:szCs w:val="28"/>
        </w:rPr>
        <w:t>备案人应当确保提交的资料合法、真实、准确、完整和可追溯。</w:t>
      </w:r>
    </w:p>
    <w:p>
      <w:pPr>
        <w:rPr>
          <w:rFonts w:ascii="华文仿宋" w:hAnsi="华文仿宋" w:eastAsia="华文仿宋"/>
          <w:sz w:val="28"/>
          <w:szCs w:val="28"/>
        </w:rPr>
      </w:pPr>
      <w:r>
        <w:rPr>
          <w:rFonts w:hint="eastAsia" w:ascii="华文仿宋" w:hAnsi="华文仿宋" w:eastAsia="华文仿宋"/>
          <w:sz w:val="28"/>
          <w:szCs w:val="28"/>
        </w:rPr>
        <w:t>备案人实际生产产品应当与备案信息一致。</w:t>
      </w:r>
    </w:p>
    <w:p/>
    <w:p>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890DE2"/>
    <w:rsid w:val="76890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2025-01-03T01:50:00Z</dcterms:created>
  <dc:creator>lenovo</dc:creator>
  <cp:lastModifiedBy>lenovo</cp:lastModifiedBy>
  <dcterms:modified xsi:type="dcterms:W3CDTF">2025-01-03T01:50:53Z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25FFBE350B2545EB81F1C87089E86971</vt:lpwstr>
  </property>
</Properties>
</file>