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0" w:firstLineChars="0"/>
        <w:jc w:val="left"/>
        <w:textAlignment w:val="auto"/>
        <w:outlineLvl w:val="0"/>
        <w:rPr>
          <w:rFonts w:ascii="黑体" w:eastAsia="黑体" w:cs="黑体"/>
          <w:kern w:val="0"/>
          <w:sz w:val="32"/>
          <w:szCs w:val="32"/>
          <w:lang w:bidi="mn-Mong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bidi="mn-Mong-CN"/>
        </w:rPr>
        <w:t>附件</w:t>
      </w:r>
      <w:r>
        <w:rPr>
          <w:rFonts w:ascii="黑体" w:eastAsia="黑体" w:cs="黑体"/>
          <w:kern w:val="0"/>
          <w:sz w:val="32"/>
          <w:szCs w:val="32"/>
          <w:lang w:bidi="mn-Mong-CN"/>
        </w:rPr>
        <w:t>2</w:t>
      </w:r>
    </w:p>
    <w:p>
      <w:pPr>
        <w:autoSpaceDE w:val="0"/>
        <w:autoSpaceDN w:val="0"/>
        <w:adjustRightInd w:val="0"/>
        <w:jc w:val="center"/>
        <w:rPr>
          <w:rFonts w:ascii="方正小标宋简体" w:hAnsi="宋体" w:eastAsia="方正小标宋简体" w:cs="宋体"/>
          <w:kern w:val="0"/>
          <w:sz w:val="44"/>
          <w:szCs w:val="44"/>
          <w:lang w:bidi="mn-Mong-CN"/>
        </w:rPr>
      </w:pPr>
      <w:bookmarkStart w:id="0" w:name="_GoBack"/>
      <w:r>
        <w:rPr>
          <w:rFonts w:hint="eastAsia" w:ascii="方正小标宋简体" w:eastAsia="方正小标宋简体" w:cs="FZXBSJW--GB1-0"/>
          <w:kern w:val="0"/>
          <w:sz w:val="44"/>
          <w:szCs w:val="44"/>
          <w:lang w:bidi="mn-Mong-CN"/>
        </w:rPr>
        <w:t>2020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bidi="mn-Mong-CN"/>
        </w:rPr>
        <w:t>年烟台市商标发展保护情况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959"/>
        <w:gridCol w:w="1932"/>
        <w:gridCol w:w="175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mn-Mong-CN"/>
              </w:rPr>
              <w:t>区  划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国内注册商标期末有效量（件）</w:t>
            </w: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马德里国际注册期末有效量（件）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spacing w:val="-14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4"/>
                <w:kern w:val="0"/>
                <w:sz w:val="24"/>
                <w:szCs w:val="24"/>
                <w:lang w:bidi="mn-Mong-CN"/>
              </w:rPr>
              <w:t>地理标志商标期末有效量（件）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spacing w:val="-14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4"/>
                <w:kern w:val="0"/>
                <w:sz w:val="24"/>
                <w:szCs w:val="24"/>
                <w:lang w:bidi="mn-Mong-CN"/>
              </w:rPr>
              <w:t>驰名商标期末实有数（件）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福山区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4465</w:t>
            </w: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莱山区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7499</w:t>
            </w: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高新区</w:t>
            </w:r>
          </w:p>
        </w:tc>
        <w:tc>
          <w:tcPr>
            <w:tcW w:w="108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海阳市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3779</w:t>
            </w: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开发区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30996</w:t>
            </w: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芝罘区</w:t>
            </w:r>
          </w:p>
        </w:tc>
        <w:tc>
          <w:tcPr>
            <w:tcW w:w="108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莱阳市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6236</w:t>
            </w: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莱州市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6520</w:t>
            </w: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龙口市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9646</w:t>
            </w: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牟平区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4375</w:t>
            </w: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蓬莱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 w:bidi="mn-Mong-CN"/>
              </w:rPr>
              <w:t>区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6246</w:t>
            </w: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栖霞市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4333</w:t>
            </w: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招远市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4386</w:t>
            </w: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长岛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 w:bidi="mn-Mong-CN"/>
              </w:rPr>
              <w:t>综合试验区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bidi="mn-Mong-CN"/>
              </w:rPr>
              <w:t>市  直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 —</w:t>
            </w: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 —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 w:bidi="mn-Mong-CN"/>
              </w:rPr>
              <w:t>全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mn-Mong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 w:bidi="mn-Mong-CN"/>
              </w:rPr>
              <w:t>市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105994</w:t>
            </w:r>
          </w:p>
        </w:tc>
        <w:tc>
          <w:tcPr>
            <w:tcW w:w="10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bidi="mn-Mong-CN"/>
              </w:rPr>
              <w:t>备注：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</w:t>
            </w:r>
            <w:r>
              <w:rPr>
                <w:rFonts w:hint="eastAsia" w:ascii="仿宋_GB2312" w:eastAsia="仿宋_GB2312"/>
                <w:sz w:val="24"/>
                <w:szCs w:val="24"/>
              </w:rPr>
              <w:t>国家知识产权局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统计表</w:t>
            </w:r>
            <w:r>
              <w:rPr>
                <w:rFonts w:hint="eastAsia" w:ascii="仿宋_GB2312" w:eastAsia="仿宋_GB2312"/>
                <w:sz w:val="24"/>
                <w:szCs w:val="24"/>
              </w:rPr>
              <w:t>中国内注册商标期末有效量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数据</w:t>
            </w:r>
            <w:r>
              <w:rPr>
                <w:rFonts w:hint="eastAsia" w:ascii="仿宋_GB2312" w:eastAsia="仿宋_GB2312"/>
                <w:sz w:val="24"/>
                <w:szCs w:val="24"/>
              </w:rPr>
              <w:t>区域划分不详，开发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区、高新区具体数据无法明确，特此说明。</w:t>
            </w:r>
          </w:p>
        </w:tc>
      </w:tr>
    </w:tbl>
    <w:p/>
    <w:sectPr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95BD0"/>
    <w:rsid w:val="4B395BD0"/>
    <w:rsid w:val="6F5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2021-04-21T05:54:00Z</dcterms:created>
  <dc:creator>回家的路</dc:creator>
  <cp:lastModifiedBy>回家的路</cp:lastModifiedBy>
  <dcterms:modified xsi:type="dcterms:W3CDTF">2021-04-21T05:57:22Z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52ACE23816A14C13A9A85AB6966F017C</vt:lpwstr>
  </property>
</Properties>
</file>